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01635" w14:textId="77777777" w:rsidR="00D856D8" w:rsidRPr="007D459E" w:rsidRDefault="007D459E" w:rsidP="007D459E">
      <w:pPr>
        <w:jc w:val="center"/>
        <w:rPr>
          <w:b/>
          <w:sz w:val="28"/>
        </w:rPr>
      </w:pPr>
      <w:r w:rsidRPr="007D459E">
        <w:rPr>
          <w:b/>
          <w:sz w:val="28"/>
        </w:rPr>
        <w:t>VGI Use Case Sub Group</w:t>
      </w:r>
    </w:p>
    <w:p w14:paraId="7F60C0B3" w14:textId="430C3607" w:rsidR="007D459E" w:rsidRDefault="000F16C3" w:rsidP="007D459E">
      <w:pPr>
        <w:jc w:val="center"/>
        <w:rPr>
          <w:b/>
        </w:rPr>
      </w:pPr>
      <w:r>
        <w:rPr>
          <w:b/>
        </w:rPr>
        <w:t>29</w:t>
      </w:r>
      <w:r w:rsidR="007D459E" w:rsidRPr="007D459E">
        <w:rPr>
          <w:b/>
        </w:rPr>
        <w:t xml:space="preserve"> June 2017 </w:t>
      </w:r>
      <w:r w:rsidR="007D459E">
        <w:rPr>
          <w:b/>
        </w:rPr>
        <w:t>Meeting Minutes</w:t>
      </w:r>
    </w:p>
    <w:p w14:paraId="3DCD7DE0" w14:textId="77777777" w:rsidR="007D459E" w:rsidRPr="007D459E" w:rsidRDefault="007D459E" w:rsidP="007D459E"/>
    <w:p w14:paraId="0F62D51E" w14:textId="77777777" w:rsidR="007D459E" w:rsidRDefault="007D459E">
      <w:r>
        <w:t>Attendees:</w:t>
      </w:r>
    </w:p>
    <w:p w14:paraId="7C03A4B4" w14:textId="46817F5D" w:rsidR="00D322E8" w:rsidRPr="000F16C3" w:rsidRDefault="00D322E8" w:rsidP="00C45604">
      <w:pPr>
        <w:spacing w:after="0" w:line="240" w:lineRule="auto"/>
      </w:pPr>
      <w:r w:rsidRPr="000F16C3">
        <w:t>Dave McCreadie, Ford</w:t>
      </w:r>
    </w:p>
    <w:p w14:paraId="70FFDDF0" w14:textId="2E9F17BF" w:rsidR="000F16C3" w:rsidRPr="000F16C3" w:rsidRDefault="000F16C3" w:rsidP="00C45604">
      <w:pPr>
        <w:spacing w:after="0" w:line="240" w:lineRule="auto"/>
      </w:pPr>
      <w:r w:rsidRPr="000F16C3">
        <w:t>Dean Taylor, SCE</w:t>
      </w:r>
    </w:p>
    <w:p w14:paraId="48DFF2E0" w14:textId="7495D58F" w:rsidR="00C45604" w:rsidRPr="000F16C3" w:rsidRDefault="001D6731" w:rsidP="00C45604">
      <w:pPr>
        <w:spacing w:after="0" w:line="240" w:lineRule="auto"/>
      </w:pPr>
      <w:r w:rsidRPr="000F16C3">
        <w:t>Elise Kedd</w:t>
      </w:r>
      <w:r w:rsidR="00C45604" w:rsidRPr="000F16C3">
        <w:t>ing, CARB</w:t>
      </w:r>
    </w:p>
    <w:p w14:paraId="332EBF58" w14:textId="0625A3D5" w:rsidR="00305500" w:rsidRPr="000F16C3" w:rsidRDefault="00305500" w:rsidP="00C45604">
      <w:pPr>
        <w:spacing w:after="0" w:line="240" w:lineRule="auto"/>
      </w:pPr>
      <w:r w:rsidRPr="000F16C3">
        <w:t>Fahad Saadat, Daimler</w:t>
      </w:r>
    </w:p>
    <w:p w14:paraId="52755357" w14:textId="77777777" w:rsidR="007D459E" w:rsidRPr="000F16C3" w:rsidRDefault="00447985" w:rsidP="007D459E">
      <w:pPr>
        <w:spacing w:after="0" w:line="240" w:lineRule="auto"/>
      </w:pPr>
      <w:proofErr w:type="spellStart"/>
      <w:r w:rsidRPr="000F16C3">
        <w:t>Ga</w:t>
      </w:r>
      <w:r w:rsidR="00DE1394" w:rsidRPr="000F16C3">
        <w:t>di</w:t>
      </w:r>
      <w:proofErr w:type="spellEnd"/>
      <w:r w:rsidR="00DE1394" w:rsidRPr="000F16C3">
        <w:t xml:space="preserve"> Lenz</w:t>
      </w:r>
      <w:r w:rsidRPr="000F16C3">
        <w:t>, IoTecha</w:t>
      </w:r>
    </w:p>
    <w:p w14:paraId="7A0B13E2" w14:textId="3007220A" w:rsidR="00C45604" w:rsidRPr="000F16C3" w:rsidRDefault="00C45604" w:rsidP="00C45604">
      <w:pPr>
        <w:spacing w:after="0" w:line="240" w:lineRule="auto"/>
      </w:pPr>
      <w:r w:rsidRPr="000F16C3">
        <w:t>George Bellino, EPRI</w:t>
      </w:r>
    </w:p>
    <w:p w14:paraId="1CB1A384" w14:textId="1F8B5D23" w:rsidR="001D6731" w:rsidRPr="000F16C3" w:rsidRDefault="001D6731" w:rsidP="00C45604">
      <w:pPr>
        <w:spacing w:after="0" w:line="240" w:lineRule="auto"/>
      </w:pPr>
      <w:r w:rsidRPr="000F16C3">
        <w:t>Hank McGlynn, AEYCH</w:t>
      </w:r>
    </w:p>
    <w:p w14:paraId="03808C69" w14:textId="6C155FC7" w:rsidR="001D6731" w:rsidRPr="000F16C3" w:rsidRDefault="001D6731" w:rsidP="00C45604">
      <w:pPr>
        <w:spacing w:after="0" w:line="240" w:lineRule="auto"/>
      </w:pPr>
      <w:r w:rsidRPr="000F16C3">
        <w:t>Jeremy Whaling, Honda</w:t>
      </w:r>
    </w:p>
    <w:p w14:paraId="0B0848E9" w14:textId="7A80218D" w:rsidR="00305500" w:rsidRPr="000F16C3" w:rsidRDefault="00305500" w:rsidP="00C45604">
      <w:pPr>
        <w:spacing w:after="0" w:line="240" w:lineRule="auto"/>
      </w:pPr>
      <w:r w:rsidRPr="000F16C3">
        <w:t>John Mengwasser, Shell</w:t>
      </w:r>
    </w:p>
    <w:p w14:paraId="209428FE" w14:textId="2299468D" w:rsidR="00F57827" w:rsidRPr="000F16C3" w:rsidRDefault="00F57827" w:rsidP="00C45604">
      <w:pPr>
        <w:spacing w:after="0" w:line="240" w:lineRule="auto"/>
      </w:pPr>
      <w:r w:rsidRPr="000F16C3">
        <w:t>Jordan Smith, SCE</w:t>
      </w:r>
    </w:p>
    <w:p w14:paraId="6C12F95F" w14:textId="77777777" w:rsidR="00C45604" w:rsidRPr="000F16C3" w:rsidRDefault="00C45604" w:rsidP="00C45604">
      <w:pPr>
        <w:spacing w:after="0" w:line="240" w:lineRule="auto"/>
      </w:pPr>
      <w:r w:rsidRPr="000F16C3">
        <w:t>Lance Atkins, Nissan</w:t>
      </w:r>
    </w:p>
    <w:p w14:paraId="231146D5" w14:textId="30C77994" w:rsidR="00447985" w:rsidRPr="000F16C3" w:rsidRDefault="00447985" w:rsidP="007D459E">
      <w:pPr>
        <w:spacing w:after="0" w:line="240" w:lineRule="auto"/>
      </w:pPr>
      <w:r w:rsidRPr="000F16C3">
        <w:t>Mike Bourton, Kitu Systems</w:t>
      </w:r>
    </w:p>
    <w:p w14:paraId="4A940A9B" w14:textId="257ED04A" w:rsidR="00D322E8" w:rsidRPr="000F16C3" w:rsidRDefault="00D322E8" w:rsidP="007D459E">
      <w:pPr>
        <w:spacing w:after="0" w:line="240" w:lineRule="auto"/>
      </w:pPr>
      <w:r w:rsidRPr="000F16C3">
        <w:t>Noel Crisostomo, CEC</w:t>
      </w:r>
    </w:p>
    <w:p w14:paraId="0D09757C" w14:textId="0E6F19D1" w:rsidR="000F16C3" w:rsidRPr="000F16C3" w:rsidRDefault="000F16C3" w:rsidP="007D459E">
      <w:pPr>
        <w:spacing w:after="0" w:line="240" w:lineRule="auto"/>
      </w:pPr>
      <w:r w:rsidRPr="000F16C3">
        <w:t>Rich Scholer, FCA</w:t>
      </w:r>
    </w:p>
    <w:p w14:paraId="573E32E7" w14:textId="60E8773B" w:rsidR="000F16C3" w:rsidRPr="000F16C3" w:rsidRDefault="000F16C3" w:rsidP="007D459E">
      <w:pPr>
        <w:spacing w:after="0" w:line="240" w:lineRule="auto"/>
      </w:pPr>
      <w:r w:rsidRPr="000F16C3">
        <w:t>Preetika Krishnamoorthy, Daimler</w:t>
      </w:r>
    </w:p>
    <w:p w14:paraId="59652237" w14:textId="232D8CC9" w:rsidR="000F16C3" w:rsidRPr="000F16C3" w:rsidRDefault="000F16C3" w:rsidP="007D459E">
      <w:pPr>
        <w:spacing w:after="0" w:line="240" w:lineRule="auto"/>
      </w:pPr>
      <w:r w:rsidRPr="000F16C3">
        <w:t>Scott Turik, Ford</w:t>
      </w:r>
    </w:p>
    <w:p w14:paraId="200EBCF6" w14:textId="77777777" w:rsidR="00447985" w:rsidRDefault="00447985" w:rsidP="007D459E">
      <w:pPr>
        <w:spacing w:after="0" w:line="240" w:lineRule="auto"/>
      </w:pPr>
      <w:r w:rsidRPr="000F16C3">
        <w:t>Stephan Voit, Oxygen Initiative</w:t>
      </w:r>
    </w:p>
    <w:p w14:paraId="239BD1D5" w14:textId="77777777" w:rsidR="006E30C1" w:rsidRDefault="006E30C1" w:rsidP="007D459E">
      <w:pPr>
        <w:spacing w:after="0" w:line="240" w:lineRule="auto"/>
      </w:pPr>
    </w:p>
    <w:p w14:paraId="6A57907F" w14:textId="2F3EDE25" w:rsidR="006E30C1" w:rsidRDefault="006E30C1" w:rsidP="007D459E">
      <w:pPr>
        <w:spacing w:after="0" w:line="240" w:lineRule="auto"/>
      </w:pPr>
      <w:r>
        <w:t xml:space="preserve">Mike Bourton chaired the meeting. </w:t>
      </w:r>
      <w:r w:rsidR="00D22A4C">
        <w:t xml:space="preserve">The agenda for use case reviews </w:t>
      </w:r>
      <w:r w:rsidR="00CB05DD">
        <w:t>were</w:t>
      </w:r>
      <w:r w:rsidR="00D22A4C">
        <w:t>:</w:t>
      </w:r>
    </w:p>
    <w:p w14:paraId="72C4EE29" w14:textId="77777777" w:rsidR="00910099" w:rsidRDefault="00910099" w:rsidP="007D459E">
      <w:pPr>
        <w:spacing w:after="0" w:line="240" w:lineRule="auto"/>
      </w:pPr>
    </w:p>
    <w:p w14:paraId="40B3615B" w14:textId="31A1FB76" w:rsidR="00756042" w:rsidRDefault="00756042" w:rsidP="00910099">
      <w:pPr>
        <w:spacing w:after="0" w:line="240" w:lineRule="auto"/>
        <w:ind w:left="720"/>
      </w:pPr>
      <w:r>
        <w:t xml:space="preserve">E – General Registration and Enrollment Procedure      </w:t>
      </w:r>
      <w:bookmarkStart w:id="0" w:name="_Hlk486790040"/>
      <w:r>
        <w:tab/>
        <w:t>Rich Scholer</w:t>
      </w:r>
      <w:bookmarkEnd w:id="0"/>
    </w:p>
    <w:p w14:paraId="3CC1FBF5" w14:textId="28A734D1" w:rsidR="00756042" w:rsidRDefault="00756042" w:rsidP="00910099">
      <w:pPr>
        <w:spacing w:after="0" w:line="240" w:lineRule="auto"/>
        <w:ind w:left="720"/>
      </w:pPr>
      <w:r>
        <w:t>L1 – Customer Connect PEV at Home</w:t>
      </w:r>
      <w:r w:rsidRPr="00756042">
        <w:t xml:space="preserve"> </w:t>
      </w:r>
      <w:r>
        <w:tab/>
      </w:r>
      <w:r>
        <w:tab/>
      </w:r>
      <w:r>
        <w:tab/>
      </w:r>
      <w:r>
        <w:t>Rich Scholer</w:t>
      </w:r>
    </w:p>
    <w:p w14:paraId="61D4B922" w14:textId="253D03A4" w:rsidR="00756042" w:rsidRDefault="00756042" w:rsidP="00910099">
      <w:pPr>
        <w:spacing w:after="0" w:line="240" w:lineRule="auto"/>
        <w:ind w:left="720"/>
      </w:pPr>
      <w:r>
        <w:t>L2 – Customer Connects PEV at another Home</w:t>
      </w:r>
      <w:r w:rsidRPr="00756042">
        <w:t xml:space="preserve"> </w:t>
      </w:r>
      <w:r>
        <w:tab/>
      </w:r>
      <w:r>
        <w:tab/>
      </w:r>
      <w:r>
        <w:t>Rich Scholer</w:t>
      </w:r>
    </w:p>
    <w:p w14:paraId="5655B392" w14:textId="4D617BEC" w:rsidR="00756042" w:rsidRDefault="00756042" w:rsidP="00910099">
      <w:pPr>
        <w:spacing w:after="0" w:line="240" w:lineRule="auto"/>
        <w:ind w:left="720"/>
      </w:pPr>
      <w:r>
        <w:t>L3 – Customer Connects PEV outside the Home</w:t>
      </w:r>
      <w:r w:rsidRPr="00756042">
        <w:t xml:space="preserve"> </w:t>
      </w:r>
      <w:r>
        <w:tab/>
      </w:r>
      <w:r>
        <w:tab/>
      </w:r>
      <w:r>
        <w:t>Rich Scholer</w:t>
      </w:r>
    </w:p>
    <w:p w14:paraId="6601A09D" w14:textId="68081BCF" w:rsidR="00756042" w:rsidRDefault="00756042" w:rsidP="00910099">
      <w:pPr>
        <w:spacing w:after="0" w:line="240" w:lineRule="auto"/>
        <w:ind w:left="720"/>
      </w:pPr>
      <w:r>
        <w:t>L4 – Customer connects PEV at Public Location</w:t>
      </w:r>
      <w:r w:rsidRPr="00756042">
        <w:t xml:space="preserve"> </w:t>
      </w:r>
      <w:r>
        <w:tab/>
      </w:r>
      <w:r>
        <w:tab/>
      </w:r>
      <w:r>
        <w:t>Rich Scholer</w:t>
      </w:r>
    </w:p>
    <w:p w14:paraId="7A350505" w14:textId="15E82A33" w:rsidR="00756042" w:rsidRDefault="00756042" w:rsidP="00910099">
      <w:pPr>
        <w:spacing w:after="0" w:line="240" w:lineRule="auto"/>
        <w:ind w:left="720"/>
      </w:pPr>
      <w:r>
        <w:t>PR1 – Customer Charges the PEV</w:t>
      </w:r>
      <w:r w:rsidRPr="00756042">
        <w:t xml:space="preserve"> </w:t>
      </w:r>
      <w:r>
        <w:tab/>
      </w:r>
      <w:r>
        <w:tab/>
      </w:r>
      <w:r>
        <w:tab/>
      </w:r>
      <w:r>
        <w:t>Rich Scholer</w:t>
      </w:r>
    </w:p>
    <w:p w14:paraId="6B36CAEE" w14:textId="7327B742" w:rsidR="00756042" w:rsidRDefault="00756042" w:rsidP="00910099">
      <w:pPr>
        <w:spacing w:after="0" w:line="240" w:lineRule="auto"/>
        <w:ind w:left="720"/>
      </w:pPr>
      <w:r>
        <w:t>PR2 – Customer Discharges the PEV</w:t>
      </w:r>
      <w:r w:rsidRPr="00756042">
        <w:t xml:space="preserve"> </w:t>
      </w:r>
      <w:r>
        <w:tab/>
      </w:r>
      <w:r>
        <w:tab/>
      </w:r>
      <w:r>
        <w:tab/>
      </w:r>
      <w:r>
        <w:t>Rich Scholer</w:t>
      </w:r>
    </w:p>
    <w:p w14:paraId="23CAC66D" w14:textId="11F4D202" w:rsidR="00910099" w:rsidRDefault="009A5D48" w:rsidP="00910099">
      <w:pPr>
        <w:spacing w:after="0" w:line="240" w:lineRule="auto"/>
        <w:ind w:left="720"/>
      </w:pPr>
      <w:r>
        <w:t>S1 Cordset</w:t>
      </w:r>
      <w:r w:rsidR="00756042">
        <w:tab/>
      </w:r>
      <w:r w:rsidR="00756042">
        <w:tab/>
      </w:r>
      <w:r w:rsidR="00756042">
        <w:tab/>
      </w:r>
      <w:r w:rsidR="00756042">
        <w:tab/>
      </w:r>
      <w:r w:rsidR="00756042">
        <w:tab/>
      </w:r>
      <w:r w:rsidR="00756042">
        <w:tab/>
      </w:r>
      <w:r w:rsidR="00756042">
        <w:t>Rich Scholer</w:t>
      </w:r>
    </w:p>
    <w:p w14:paraId="11D621DE" w14:textId="1AB0298E" w:rsidR="009A5D48" w:rsidRDefault="009A5D48" w:rsidP="00910099">
      <w:pPr>
        <w:spacing w:after="0" w:line="240" w:lineRule="auto"/>
        <w:ind w:left="720"/>
      </w:pPr>
      <w:r>
        <w:t>S2 Premise EVSE</w:t>
      </w:r>
      <w:r w:rsidR="00756042" w:rsidRPr="00756042">
        <w:t xml:space="preserve"> </w:t>
      </w:r>
      <w:r w:rsidR="00756042">
        <w:tab/>
      </w:r>
      <w:r w:rsidR="00756042">
        <w:tab/>
      </w:r>
      <w:r w:rsidR="00756042">
        <w:tab/>
      </w:r>
      <w:r w:rsidR="00756042">
        <w:tab/>
      </w:r>
      <w:r w:rsidR="00756042">
        <w:tab/>
      </w:r>
      <w:r w:rsidR="00756042">
        <w:t>Rich Scholer</w:t>
      </w:r>
    </w:p>
    <w:p w14:paraId="5138C544" w14:textId="33C4D3B8" w:rsidR="009A5D48" w:rsidRDefault="009A5D48" w:rsidP="00910099">
      <w:pPr>
        <w:spacing w:after="0" w:line="240" w:lineRule="auto"/>
        <w:ind w:left="720"/>
      </w:pPr>
      <w:r>
        <w:t>S3 Premise EVS</w:t>
      </w:r>
      <w:r w:rsidR="00756042">
        <w:t xml:space="preserve">E </w:t>
      </w:r>
      <w:r>
        <w:t>includes the Charger</w:t>
      </w:r>
      <w:r w:rsidR="00756042" w:rsidRPr="00756042">
        <w:t xml:space="preserve"> </w:t>
      </w:r>
      <w:r w:rsidR="00756042">
        <w:tab/>
      </w:r>
      <w:r w:rsidR="00756042">
        <w:tab/>
      </w:r>
      <w:r w:rsidR="00756042">
        <w:tab/>
      </w:r>
      <w:r w:rsidR="00756042">
        <w:t>Rich Scholer</w:t>
      </w:r>
    </w:p>
    <w:p w14:paraId="02B1EEB0" w14:textId="6B5BD94F" w:rsidR="009A5D48" w:rsidRDefault="009A5D48" w:rsidP="00910099">
      <w:pPr>
        <w:spacing w:after="0" w:line="240" w:lineRule="auto"/>
        <w:ind w:left="720"/>
      </w:pPr>
      <w:r>
        <w:t>U1</w:t>
      </w:r>
      <w:r w:rsidR="00F54D29">
        <w:t xml:space="preserve"> </w:t>
      </w:r>
      <w:r>
        <w:t>- TOU Program</w:t>
      </w:r>
      <w:r w:rsidR="00756042" w:rsidRPr="00756042">
        <w:t xml:space="preserve"> </w:t>
      </w:r>
      <w:r w:rsidR="00756042">
        <w:tab/>
      </w:r>
      <w:r w:rsidR="00756042">
        <w:tab/>
      </w:r>
      <w:r w:rsidR="00756042">
        <w:tab/>
      </w:r>
      <w:r w:rsidR="00756042">
        <w:tab/>
      </w:r>
      <w:r w:rsidR="00756042">
        <w:tab/>
      </w:r>
      <w:r w:rsidR="00756042">
        <w:t>Rich Scholer</w:t>
      </w:r>
    </w:p>
    <w:p w14:paraId="4886957C" w14:textId="151C848F" w:rsidR="009A5D48" w:rsidRDefault="009A5D48" w:rsidP="00910099">
      <w:pPr>
        <w:spacing w:after="0" w:line="240" w:lineRule="auto"/>
        <w:ind w:left="720"/>
      </w:pPr>
      <w:r>
        <w:t>U2 – Discrete Event Program</w:t>
      </w:r>
      <w:r w:rsidR="00756042" w:rsidRPr="00756042">
        <w:t xml:space="preserve"> </w:t>
      </w:r>
      <w:r w:rsidR="00756042">
        <w:tab/>
      </w:r>
      <w:r w:rsidR="00756042">
        <w:tab/>
      </w:r>
      <w:r w:rsidR="00756042">
        <w:tab/>
      </w:r>
      <w:r w:rsidR="00756042">
        <w:tab/>
      </w:r>
      <w:r w:rsidR="00756042">
        <w:t>Rich Scholer</w:t>
      </w:r>
    </w:p>
    <w:p w14:paraId="1045E212" w14:textId="576E3F32" w:rsidR="009A5D48" w:rsidRDefault="009A5D48" w:rsidP="00910099">
      <w:pPr>
        <w:spacing w:after="0" w:line="240" w:lineRule="auto"/>
        <w:ind w:left="720"/>
      </w:pPr>
      <w:r>
        <w:t>U3</w:t>
      </w:r>
      <w:r w:rsidR="00756042">
        <w:t xml:space="preserve"> – Real Time Pricing (RTP)</w:t>
      </w:r>
      <w:r w:rsidR="00756042" w:rsidRPr="00756042">
        <w:t xml:space="preserve"> </w:t>
      </w:r>
      <w:r w:rsidR="00756042">
        <w:tab/>
      </w:r>
      <w:r w:rsidR="00756042">
        <w:tab/>
      </w:r>
      <w:r w:rsidR="00756042">
        <w:tab/>
      </w:r>
      <w:r w:rsidR="00756042">
        <w:tab/>
      </w:r>
      <w:r w:rsidR="00756042">
        <w:t>Rich Scholer</w:t>
      </w:r>
    </w:p>
    <w:p w14:paraId="7DEA5EE2" w14:textId="3F02BB6A" w:rsidR="00756042" w:rsidRDefault="00756042" w:rsidP="00910099">
      <w:pPr>
        <w:spacing w:after="0" w:line="240" w:lineRule="auto"/>
        <w:ind w:left="720"/>
      </w:pPr>
      <w:r>
        <w:t>U4 – Critical Peak Pricing (CPP)</w:t>
      </w:r>
      <w:r w:rsidRPr="00756042">
        <w:t xml:space="preserve"> </w:t>
      </w:r>
      <w:r>
        <w:tab/>
      </w:r>
      <w:r>
        <w:tab/>
      </w:r>
      <w:r>
        <w:tab/>
      </w:r>
      <w:r>
        <w:tab/>
      </w:r>
      <w:r>
        <w:t>Rich Scholer</w:t>
      </w:r>
    </w:p>
    <w:p w14:paraId="32EAD83E" w14:textId="607A831C" w:rsidR="00756042" w:rsidRDefault="00756042" w:rsidP="00910099">
      <w:pPr>
        <w:spacing w:after="0" w:line="240" w:lineRule="auto"/>
        <w:ind w:left="720"/>
      </w:pPr>
      <w:r>
        <w:t>U5 – Optimized Energy Transfer Program</w:t>
      </w:r>
      <w:r w:rsidRPr="00756042">
        <w:t xml:space="preserve"> </w:t>
      </w:r>
      <w:r>
        <w:tab/>
      </w:r>
      <w:r>
        <w:tab/>
      </w:r>
      <w:r>
        <w:t>Rich Scholer</w:t>
      </w:r>
    </w:p>
    <w:p w14:paraId="46D81F7E" w14:textId="17F96AC9" w:rsidR="00756042" w:rsidRDefault="00756042" w:rsidP="00910099">
      <w:pPr>
        <w:spacing w:after="0" w:line="240" w:lineRule="auto"/>
        <w:ind w:left="720"/>
      </w:pPr>
      <w:r>
        <w:t>Demand Charge Mitigation Use Case</w:t>
      </w:r>
      <w:r w:rsidRPr="00756042">
        <w:t xml:space="preserve"> </w:t>
      </w:r>
      <w:r>
        <w:tab/>
      </w:r>
      <w:r>
        <w:tab/>
      </w:r>
      <w:r>
        <w:tab/>
      </w:r>
      <w:r>
        <w:t>Rich Scholer</w:t>
      </w:r>
    </w:p>
    <w:p w14:paraId="2E478291" w14:textId="0AAA0E50" w:rsidR="00756042" w:rsidRDefault="00756042" w:rsidP="00910099">
      <w:pPr>
        <w:spacing w:after="0" w:line="240" w:lineRule="auto"/>
        <w:ind w:left="720"/>
      </w:pPr>
      <w:r>
        <w:t>Summary DC Flow Management</w:t>
      </w:r>
      <w:r>
        <w:tab/>
      </w:r>
      <w:r>
        <w:tab/>
      </w:r>
      <w:r>
        <w:tab/>
      </w:r>
      <w:r>
        <w:tab/>
        <w:t>Hank McGlynn</w:t>
      </w:r>
    </w:p>
    <w:p w14:paraId="38F3C57D" w14:textId="77777777" w:rsidR="005001BF" w:rsidRDefault="005001BF" w:rsidP="00910099">
      <w:pPr>
        <w:spacing w:after="0" w:line="240" w:lineRule="auto"/>
        <w:ind w:left="720"/>
      </w:pPr>
    </w:p>
    <w:p w14:paraId="5E828241" w14:textId="551B8499" w:rsidR="00910099" w:rsidRDefault="006B1036" w:rsidP="00910099">
      <w:pPr>
        <w:spacing w:after="0" w:line="240" w:lineRule="auto"/>
      </w:pPr>
      <w:r>
        <w:t>The basis for the use cases presented by Rich Scholer and Hank McGlynn are the SAE J</w:t>
      </w:r>
      <w:r w:rsidR="005001BF">
        <w:t>2836 series.</w:t>
      </w:r>
      <w:r w:rsidR="00CB05DD">
        <w:t xml:space="preserve"> Refer to the Use Case Shared Drive for access to actual copies of the individual use case documents under url </w:t>
      </w:r>
      <w:hyperlink r:id="rId5" w:history="1">
        <w:r w:rsidR="00CB05DD" w:rsidRPr="00981FD2">
          <w:rPr>
            <w:rStyle w:val="Hyperlink"/>
          </w:rPr>
          <w:t>https://drive.google.com/drive/u/1/folders/0B4_ZRQzLAsLNRmowNWV5bDdGZTg</w:t>
        </w:r>
      </w:hyperlink>
    </w:p>
    <w:p w14:paraId="3D2AAE68" w14:textId="1BBAB701" w:rsidR="00CB05DD" w:rsidRDefault="00CB05DD" w:rsidP="00910099">
      <w:pPr>
        <w:spacing w:after="0" w:line="240" w:lineRule="auto"/>
      </w:pPr>
      <w:r>
        <w:lastRenderedPageBreak/>
        <w:t xml:space="preserve">Roll call was conducted. Attendees are listed above. </w:t>
      </w:r>
    </w:p>
    <w:p w14:paraId="650B5789" w14:textId="77777777" w:rsidR="00981FD2" w:rsidRDefault="00981FD2" w:rsidP="00910099">
      <w:pPr>
        <w:spacing w:after="0" w:line="240" w:lineRule="auto"/>
      </w:pPr>
    </w:p>
    <w:p w14:paraId="19C73788" w14:textId="57465E8F" w:rsidR="005001BF" w:rsidRDefault="00CB05DD" w:rsidP="00910099">
      <w:pPr>
        <w:spacing w:after="0" w:line="240" w:lineRule="auto"/>
      </w:pPr>
      <w:r>
        <w:t xml:space="preserve">Mike Bourton started the meeting by reiterating the action that authors of use cases are to complete the requirements spreadsheet </w:t>
      </w:r>
      <w:r w:rsidR="00981FD2">
        <w:t xml:space="preserve">(see template </w:t>
      </w:r>
      <w:r>
        <w:t>located in the</w:t>
      </w:r>
      <w:r w:rsidR="00981FD2">
        <w:t xml:space="preserve"> Use Case Google Drive at url </w:t>
      </w:r>
      <w:hyperlink r:id="rId6" w:history="1">
        <w:r w:rsidR="0042544B" w:rsidRPr="00535BFA">
          <w:rPr>
            <w:rStyle w:val="Hyperlink"/>
          </w:rPr>
          <w:t>https://drive.google.com/drive/u/1/folders/0B4_ZRQzLAsLNeXRYcjRKa2FwUjg</w:t>
        </w:r>
      </w:hyperlink>
      <w:r w:rsidR="00981FD2" w:rsidRPr="00981FD2">
        <w:t xml:space="preserve"> </w:t>
      </w:r>
      <w:r w:rsidR="00981FD2">
        <w:t xml:space="preserve">) and submit to </w:t>
      </w:r>
      <w:r w:rsidR="00981FD2">
        <w:t xml:space="preserve"> Stephanie Palmer</w:t>
      </w:r>
      <w:r w:rsidR="00981FD2">
        <w:t xml:space="preserve"> as soon as possible. Needs to be accomplished </w:t>
      </w:r>
      <w:r w:rsidR="0042544B">
        <w:t>by July 13</w:t>
      </w:r>
      <w:r w:rsidR="00981FD2">
        <w:t xml:space="preserve">. </w:t>
      </w:r>
    </w:p>
    <w:p w14:paraId="41A670EF" w14:textId="29476AA0" w:rsidR="007A5613" w:rsidRDefault="007A5613" w:rsidP="00910099">
      <w:pPr>
        <w:spacing w:after="0" w:line="240" w:lineRule="auto"/>
      </w:pPr>
    </w:p>
    <w:p w14:paraId="33D241E2" w14:textId="11F6E8A0" w:rsidR="007A5613" w:rsidRDefault="007A5613" w:rsidP="00910099">
      <w:pPr>
        <w:spacing w:after="0" w:line="240" w:lineRule="auto"/>
      </w:pPr>
      <w:r>
        <w:t>Mike also informed the working group members the next review meeting is July 6</w:t>
      </w:r>
      <w:r w:rsidR="0010732D">
        <w:t xml:space="preserve">. No meeting July 4 as it is a holiday. </w:t>
      </w:r>
    </w:p>
    <w:p w14:paraId="59597C43" w14:textId="59010D8D" w:rsidR="0042544B" w:rsidRDefault="0042544B" w:rsidP="00910099">
      <w:pPr>
        <w:spacing w:after="0" w:line="240" w:lineRule="auto"/>
      </w:pPr>
    </w:p>
    <w:p w14:paraId="1871B3B1" w14:textId="7D0C73E5" w:rsidR="0042544B" w:rsidRDefault="0042544B" w:rsidP="00910099">
      <w:pPr>
        <w:spacing w:after="0" w:line="240" w:lineRule="auto"/>
      </w:pPr>
      <w:r>
        <w:t xml:space="preserve">Rich Scholer provided an overview of each use case. The context of the use cases and their qualified relationship is represented in Figure 1 below.  </w:t>
      </w:r>
    </w:p>
    <w:p w14:paraId="61C72129" w14:textId="4CC61D5B" w:rsidR="0042544B" w:rsidRDefault="0042544B" w:rsidP="0042544B">
      <w:pPr>
        <w:spacing w:after="0" w:line="240" w:lineRule="auto"/>
        <w:ind w:left="720"/>
      </w:pPr>
      <w:r>
        <w:t>Use Case E is the general customer enrollment process with the utility</w:t>
      </w:r>
    </w:p>
    <w:p w14:paraId="4D4DED44" w14:textId="30B64921" w:rsidR="0042544B" w:rsidRDefault="0042544B" w:rsidP="0042544B">
      <w:pPr>
        <w:spacing w:after="0" w:line="240" w:lineRule="auto"/>
        <w:ind w:left="720"/>
      </w:pPr>
      <w:r>
        <w:t>Use Case U series represent the different type of VGI programs for enrollment</w:t>
      </w:r>
    </w:p>
    <w:p w14:paraId="5C203C72" w14:textId="6B9A9C2B" w:rsidR="0042544B" w:rsidRDefault="0042544B" w:rsidP="0042544B">
      <w:pPr>
        <w:spacing w:after="0" w:line="240" w:lineRule="auto"/>
        <w:ind w:left="720"/>
      </w:pPr>
      <w:r>
        <w:t>Use Case S series relate to how customer connects to the grid</w:t>
      </w:r>
      <w:r w:rsidR="00521494">
        <w:t xml:space="preserve"> for charging</w:t>
      </w:r>
    </w:p>
    <w:p w14:paraId="25660B78" w14:textId="49D41B05" w:rsidR="00521494" w:rsidRDefault="00521494" w:rsidP="0042544B">
      <w:pPr>
        <w:spacing w:after="0" w:line="240" w:lineRule="auto"/>
        <w:ind w:left="720"/>
      </w:pPr>
      <w:r>
        <w:t>Use Case L series addresses the various locations for charging</w:t>
      </w:r>
    </w:p>
    <w:p w14:paraId="691D6CC7" w14:textId="43A0CCEE" w:rsidR="00521494" w:rsidRDefault="00521494" w:rsidP="0042544B">
      <w:pPr>
        <w:spacing w:after="0" w:line="240" w:lineRule="auto"/>
        <w:ind w:left="720"/>
      </w:pPr>
      <w:r>
        <w:t>Charging Use Case PR1 relates to what the process is for charging</w:t>
      </w:r>
    </w:p>
    <w:p w14:paraId="0AE2AED7" w14:textId="53DFCD03" w:rsidR="00521494" w:rsidRDefault="00521494" w:rsidP="0042544B">
      <w:pPr>
        <w:spacing w:after="0" w:line="240" w:lineRule="auto"/>
        <w:ind w:left="720"/>
      </w:pPr>
      <w:r>
        <w:t>Discharging Use Case PR2 relates to what the process is for discharging</w:t>
      </w:r>
    </w:p>
    <w:p w14:paraId="4D63ADB0" w14:textId="77777777" w:rsidR="00BF273D" w:rsidRDefault="00BF273D" w:rsidP="00910099">
      <w:pPr>
        <w:spacing w:after="0" w:line="240" w:lineRule="auto"/>
      </w:pPr>
    </w:p>
    <w:p w14:paraId="127A3C02" w14:textId="77777777" w:rsidR="00521494" w:rsidRDefault="005A39D1" w:rsidP="00521494">
      <w:pPr>
        <w:keepNext/>
        <w:spacing w:after="0" w:line="240" w:lineRule="auto"/>
      </w:pPr>
      <w:r>
        <w:rPr>
          <w:noProof/>
        </w:rPr>
        <w:drawing>
          <wp:inline distT="0" distB="0" distL="0" distR="0" wp14:anchorId="00F86A2D" wp14:editId="5D26F953">
            <wp:extent cx="5962015" cy="452374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2015" cy="4523740"/>
                    </a:xfrm>
                    <a:prstGeom prst="rect">
                      <a:avLst/>
                    </a:prstGeom>
                    <a:noFill/>
                  </pic:spPr>
                </pic:pic>
              </a:graphicData>
            </a:graphic>
          </wp:inline>
        </w:drawing>
      </w:r>
    </w:p>
    <w:p w14:paraId="040AEA90" w14:textId="3318D875" w:rsidR="00D9157F" w:rsidRDefault="00521494" w:rsidP="0052149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SAE Use Case Summary</w:t>
      </w:r>
    </w:p>
    <w:p w14:paraId="5B34C703" w14:textId="6E85BA6F" w:rsidR="00521494" w:rsidRDefault="000C1E86" w:rsidP="00521494">
      <w:r>
        <w:lastRenderedPageBreak/>
        <w:t xml:space="preserve">Use Cases U1 through U4 address </w:t>
      </w:r>
      <w:r w:rsidR="0010732D">
        <w:t>established</w:t>
      </w:r>
      <w:r>
        <w:t xml:space="preserve"> utility programs, while U5 </w:t>
      </w:r>
      <w:r w:rsidR="00225C60">
        <w:t xml:space="preserve">is </w:t>
      </w:r>
      <w:r>
        <w:t>for Optimized Energy Transfer Program</w:t>
      </w:r>
      <w:r w:rsidR="00225C60">
        <w:t>s addressing</w:t>
      </w:r>
      <w:r>
        <w:t xml:space="preserve"> the utilization and application of </w:t>
      </w:r>
      <w:r w:rsidR="00225C60">
        <w:t xml:space="preserve">managed </w:t>
      </w:r>
      <w:r>
        <w:t>EV charging for Regulation and Ancillary services</w:t>
      </w:r>
      <w:r w:rsidR="0010732D">
        <w:t xml:space="preserve">, </w:t>
      </w:r>
      <w:proofErr w:type="gramStart"/>
      <w:r w:rsidR="0010732D">
        <w:t xml:space="preserve">and </w:t>
      </w:r>
      <w:r w:rsidR="00C3320C">
        <w:t>also</w:t>
      </w:r>
      <w:proofErr w:type="gramEnd"/>
      <w:r w:rsidR="0010732D">
        <w:t xml:space="preserve"> to managed charging for mitigating demand charges and </w:t>
      </w:r>
      <w:r w:rsidR="00C3320C">
        <w:t xml:space="preserve">local </w:t>
      </w:r>
      <w:r w:rsidR="0010732D">
        <w:t xml:space="preserve">load balancing. </w:t>
      </w:r>
      <w:r w:rsidR="00225C60">
        <w:t>U5</w:t>
      </w:r>
      <w:r w:rsidR="003C7CC5">
        <w:t xml:space="preserve"> also incorporates summary of time charge</w:t>
      </w:r>
      <w:r w:rsidR="0010732D">
        <w:t xml:space="preserve"> and load</w:t>
      </w:r>
      <w:r w:rsidR="003C7CC5">
        <w:t xml:space="preserve"> i</w:t>
      </w:r>
      <w:r w:rsidR="00225C60">
        <w:t>mplications based on the vehicle type (HEV, PHEV, BEV</w:t>
      </w:r>
      <w:r w:rsidR="003C7CC5">
        <w:t>)</w:t>
      </w:r>
      <w:r w:rsidR="00225C60">
        <w:t xml:space="preserve"> battery capacity, and charge rate. </w:t>
      </w:r>
    </w:p>
    <w:p w14:paraId="74383C2C" w14:textId="71C25A19" w:rsidR="00521494" w:rsidRDefault="00F54D29" w:rsidP="00521494">
      <w:r>
        <w:t xml:space="preserve">The premise for </w:t>
      </w:r>
      <w:r w:rsidR="009A6AB6">
        <w:t>the</w:t>
      </w:r>
      <w:r w:rsidR="003C7CC5">
        <w:t xml:space="preserve"> overall use case categorization and segmentation</w:t>
      </w:r>
      <w:r w:rsidR="00521494">
        <w:t xml:space="preserve"> is that any combination of these use cases may be applied depending on the objectives for the charging session by addressing enrollment, program type, location, charge type</w:t>
      </w:r>
      <w:r w:rsidR="00225C60">
        <w:t>/level</w:t>
      </w:r>
      <w:r w:rsidR="00521494">
        <w:t xml:space="preserve">, and whether it is </w:t>
      </w:r>
      <w:r w:rsidR="00225C60">
        <w:t>applied for</w:t>
      </w:r>
      <w:r w:rsidR="00521494">
        <w:t xml:space="preserve"> charging or discharging. </w:t>
      </w:r>
      <w:r w:rsidR="003C7CC5">
        <w:t xml:space="preserve">Further the structure allows for adding new use cases as more utility programs and EV technology evolve. </w:t>
      </w:r>
    </w:p>
    <w:p w14:paraId="47EDBFE9" w14:textId="5FAA6D78" w:rsidR="00225C60" w:rsidRDefault="00EE1A18" w:rsidP="00521494">
      <w:r>
        <w:t>Noel Crisostomo</w:t>
      </w:r>
      <w:r w:rsidR="00C3320C">
        <w:t xml:space="preserve"> question was</w:t>
      </w:r>
      <w:r>
        <w:t xml:space="preserve"> how does a Building EMS manage multiple EVs? Rich Scholer explained the same </w:t>
      </w:r>
      <w:r w:rsidR="00BA1BCE">
        <w:t xml:space="preserve">basic use case </w:t>
      </w:r>
      <w:r>
        <w:t xml:space="preserve">model applies in all environments. The PEVs talk to the ESI (Energy Services Interface) or EMS. The EMS sets the </w:t>
      </w:r>
      <w:r w:rsidR="00635146">
        <w:t xml:space="preserve">load balancing </w:t>
      </w:r>
      <w:r>
        <w:t xml:space="preserve">thresholds based on the facility demand charge </w:t>
      </w:r>
      <w:r w:rsidR="00BA1BCE">
        <w:t xml:space="preserve">and load limits, </w:t>
      </w:r>
      <w:r>
        <w:t>and controls the aggregated EV response</w:t>
      </w:r>
      <w:r w:rsidR="00BA1BCE">
        <w:t xml:space="preserve"> </w:t>
      </w:r>
      <w:r>
        <w:t xml:space="preserve">to </w:t>
      </w:r>
      <w:r w:rsidR="00635146">
        <w:t>any</w:t>
      </w:r>
      <w:r>
        <w:t xml:space="preserve"> utility DR or other load management event signals. The PEV provides the time charge is needed </w:t>
      </w:r>
      <w:r w:rsidR="00BA1BCE">
        <w:t xml:space="preserve">(TCIN), </w:t>
      </w:r>
      <w:r>
        <w:t>power level</w:t>
      </w:r>
      <w:r w:rsidR="00C3320C">
        <w:t>, and duration</w:t>
      </w:r>
      <w:r w:rsidR="00BA1BCE">
        <w:t xml:space="preserve"> </w:t>
      </w:r>
      <w:r w:rsidR="00C3320C">
        <w:t>to meet the TCIN,</w:t>
      </w:r>
      <w:r>
        <w:t xml:space="preserve"> and sends the information to the EMS. </w:t>
      </w:r>
      <w:r w:rsidR="00C3320C">
        <w:t xml:space="preserve">It is assumed the facility EMS has primacy of control to meet its objectives for controlling and mitigating its cost for electricity. </w:t>
      </w:r>
    </w:p>
    <w:p w14:paraId="283681C4" w14:textId="0604B6A1" w:rsidR="00BA1BCE" w:rsidRDefault="00BA1BCE" w:rsidP="00521494">
      <w:r>
        <w:t>It was determined the Use Cases will be tagged V1G, Aggregated, Non-Aggregated, Unified</w:t>
      </w:r>
    </w:p>
    <w:p w14:paraId="4EBED0E9" w14:textId="45F90048" w:rsidR="00BA1BCE" w:rsidRDefault="00BA1BCE" w:rsidP="00521494">
      <w:r>
        <w:t xml:space="preserve">Hank McGlynn responded to a previous meeting action item to address </w:t>
      </w:r>
      <w:r w:rsidR="00CE7C44">
        <w:t xml:space="preserve">use case for </w:t>
      </w:r>
      <w:r>
        <w:t xml:space="preserve">DC Power Transfer Flow Management. The premise is the point to point information </w:t>
      </w:r>
      <w:r w:rsidR="00CE7C44">
        <w:t xml:space="preserve">required </w:t>
      </w:r>
      <w:r>
        <w:t xml:space="preserve">between the DC Charger and the PEV. Qualified that the information is only </w:t>
      </w:r>
      <w:r w:rsidR="00CE7C44">
        <w:t>for flow management, is not VGI</w:t>
      </w:r>
      <w:r>
        <w:t xml:space="preserve"> but makes VGI work. </w:t>
      </w:r>
      <w:r w:rsidR="00CE7C44">
        <w:t xml:space="preserve">There are 2 modes: DC Charge Mode incorporating the use of CHAdeMO and SAE Combo standards and is PEV controlled; DC DER Mode which is controlled through the external inverter in the DC EVSE. In either case it is point to point between the DC Charger and the PEV. And because it is point to point is never aggregated. Tag for this Fragmented and Non-Aggregated. </w:t>
      </w:r>
    </w:p>
    <w:p w14:paraId="0DE73CB5" w14:textId="30BC6C3C" w:rsidR="00CE7C44" w:rsidRPr="00521494" w:rsidRDefault="00CE7C44" w:rsidP="00521494">
      <w:r>
        <w:t xml:space="preserve">Next meeting is scheduled July 6 and the presenters are to be Lisa McGhee from San Diego Airport Parking, and Dean Taylor from SCE. </w:t>
      </w:r>
      <w:bookmarkStart w:id="1" w:name="_GoBack"/>
      <w:bookmarkEnd w:id="1"/>
      <w:r>
        <w:t xml:space="preserve"> </w:t>
      </w:r>
    </w:p>
    <w:p w14:paraId="7FAE0B86" w14:textId="77777777" w:rsidR="00910099" w:rsidRDefault="00910099" w:rsidP="00D322E8">
      <w:pPr>
        <w:spacing w:after="0" w:line="240" w:lineRule="auto"/>
        <w:ind w:left="720"/>
      </w:pPr>
    </w:p>
    <w:p w14:paraId="3D0E9698" w14:textId="1DAAC735" w:rsidR="007B1CAC" w:rsidRPr="001E073E" w:rsidRDefault="001E073E" w:rsidP="001E073E">
      <w:pPr>
        <w:rPr>
          <w:rFonts w:cstheme="minorHAnsi"/>
          <w:sz w:val="2"/>
        </w:rPr>
      </w:pPr>
      <w:r>
        <w:rPr>
          <w:rFonts w:cstheme="minorHAnsi"/>
        </w:rPr>
        <w:t xml:space="preserve"> </w:t>
      </w:r>
    </w:p>
    <w:sectPr w:rsidR="007B1CAC" w:rsidRPr="001E07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C0CAB"/>
    <w:multiLevelType w:val="hybridMultilevel"/>
    <w:tmpl w:val="3B8E04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5D5A07"/>
    <w:multiLevelType w:val="hybridMultilevel"/>
    <w:tmpl w:val="EB829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F4862"/>
    <w:multiLevelType w:val="hybridMultilevel"/>
    <w:tmpl w:val="21BA3F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8E7712"/>
    <w:multiLevelType w:val="hybridMultilevel"/>
    <w:tmpl w:val="DC16E0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410A24"/>
    <w:multiLevelType w:val="hybridMultilevel"/>
    <w:tmpl w:val="496C24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34428E9"/>
    <w:multiLevelType w:val="hybridMultilevel"/>
    <w:tmpl w:val="66CE6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BF5BA3"/>
    <w:multiLevelType w:val="hybridMultilevel"/>
    <w:tmpl w:val="8A8EE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AA27644"/>
    <w:multiLevelType w:val="hybridMultilevel"/>
    <w:tmpl w:val="CC6A9AE8"/>
    <w:lvl w:ilvl="0" w:tplc="50C065C8">
      <w:start w:val="1"/>
      <w:numFmt w:val="bullet"/>
      <w:lvlText w:val="•"/>
      <w:lvlJc w:val="left"/>
      <w:pPr>
        <w:tabs>
          <w:tab w:val="num" w:pos="720"/>
        </w:tabs>
        <w:ind w:left="720" w:hanging="360"/>
      </w:pPr>
      <w:rPr>
        <w:rFonts w:ascii="Arial" w:hAnsi="Arial" w:hint="default"/>
      </w:rPr>
    </w:lvl>
    <w:lvl w:ilvl="1" w:tplc="478C5008" w:tentative="1">
      <w:start w:val="1"/>
      <w:numFmt w:val="bullet"/>
      <w:lvlText w:val="•"/>
      <w:lvlJc w:val="left"/>
      <w:pPr>
        <w:tabs>
          <w:tab w:val="num" w:pos="1440"/>
        </w:tabs>
        <w:ind w:left="1440" w:hanging="360"/>
      </w:pPr>
      <w:rPr>
        <w:rFonts w:ascii="Arial" w:hAnsi="Arial" w:hint="default"/>
      </w:rPr>
    </w:lvl>
    <w:lvl w:ilvl="2" w:tplc="D8CE01B6" w:tentative="1">
      <w:start w:val="1"/>
      <w:numFmt w:val="bullet"/>
      <w:lvlText w:val="•"/>
      <w:lvlJc w:val="left"/>
      <w:pPr>
        <w:tabs>
          <w:tab w:val="num" w:pos="2160"/>
        </w:tabs>
        <w:ind w:left="2160" w:hanging="360"/>
      </w:pPr>
      <w:rPr>
        <w:rFonts w:ascii="Arial" w:hAnsi="Arial" w:hint="default"/>
      </w:rPr>
    </w:lvl>
    <w:lvl w:ilvl="3" w:tplc="229644F2" w:tentative="1">
      <w:start w:val="1"/>
      <w:numFmt w:val="bullet"/>
      <w:lvlText w:val="•"/>
      <w:lvlJc w:val="left"/>
      <w:pPr>
        <w:tabs>
          <w:tab w:val="num" w:pos="2880"/>
        </w:tabs>
        <w:ind w:left="2880" w:hanging="360"/>
      </w:pPr>
      <w:rPr>
        <w:rFonts w:ascii="Arial" w:hAnsi="Arial" w:hint="default"/>
      </w:rPr>
    </w:lvl>
    <w:lvl w:ilvl="4" w:tplc="8C3A32BE" w:tentative="1">
      <w:start w:val="1"/>
      <w:numFmt w:val="bullet"/>
      <w:lvlText w:val="•"/>
      <w:lvlJc w:val="left"/>
      <w:pPr>
        <w:tabs>
          <w:tab w:val="num" w:pos="3600"/>
        </w:tabs>
        <w:ind w:left="3600" w:hanging="360"/>
      </w:pPr>
      <w:rPr>
        <w:rFonts w:ascii="Arial" w:hAnsi="Arial" w:hint="default"/>
      </w:rPr>
    </w:lvl>
    <w:lvl w:ilvl="5" w:tplc="306C1A2C" w:tentative="1">
      <w:start w:val="1"/>
      <w:numFmt w:val="bullet"/>
      <w:lvlText w:val="•"/>
      <w:lvlJc w:val="left"/>
      <w:pPr>
        <w:tabs>
          <w:tab w:val="num" w:pos="4320"/>
        </w:tabs>
        <w:ind w:left="4320" w:hanging="360"/>
      </w:pPr>
      <w:rPr>
        <w:rFonts w:ascii="Arial" w:hAnsi="Arial" w:hint="default"/>
      </w:rPr>
    </w:lvl>
    <w:lvl w:ilvl="6" w:tplc="60202690" w:tentative="1">
      <w:start w:val="1"/>
      <w:numFmt w:val="bullet"/>
      <w:lvlText w:val="•"/>
      <w:lvlJc w:val="left"/>
      <w:pPr>
        <w:tabs>
          <w:tab w:val="num" w:pos="5040"/>
        </w:tabs>
        <w:ind w:left="5040" w:hanging="360"/>
      </w:pPr>
      <w:rPr>
        <w:rFonts w:ascii="Arial" w:hAnsi="Arial" w:hint="default"/>
      </w:rPr>
    </w:lvl>
    <w:lvl w:ilvl="7" w:tplc="EF4A8C70" w:tentative="1">
      <w:start w:val="1"/>
      <w:numFmt w:val="bullet"/>
      <w:lvlText w:val="•"/>
      <w:lvlJc w:val="left"/>
      <w:pPr>
        <w:tabs>
          <w:tab w:val="num" w:pos="5760"/>
        </w:tabs>
        <w:ind w:left="5760" w:hanging="360"/>
      </w:pPr>
      <w:rPr>
        <w:rFonts w:ascii="Arial" w:hAnsi="Arial" w:hint="default"/>
      </w:rPr>
    </w:lvl>
    <w:lvl w:ilvl="8" w:tplc="392A5AA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2"/>
  </w:num>
  <w:num w:numId="4">
    <w:abstractNumId w:val="0"/>
  </w:num>
  <w:num w:numId="5">
    <w:abstractNumId w:val="3"/>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59E"/>
    <w:rsid w:val="0001020F"/>
    <w:rsid w:val="000267E4"/>
    <w:rsid w:val="000C1E86"/>
    <w:rsid w:val="000F16C3"/>
    <w:rsid w:val="0010732D"/>
    <w:rsid w:val="00134AE1"/>
    <w:rsid w:val="001C2AA2"/>
    <w:rsid w:val="001D6731"/>
    <w:rsid w:val="001E073E"/>
    <w:rsid w:val="0022438C"/>
    <w:rsid w:val="00225C60"/>
    <w:rsid w:val="00305500"/>
    <w:rsid w:val="003206AB"/>
    <w:rsid w:val="00364A1D"/>
    <w:rsid w:val="00370E02"/>
    <w:rsid w:val="003B03D0"/>
    <w:rsid w:val="003C721A"/>
    <w:rsid w:val="003C7CC5"/>
    <w:rsid w:val="0040573D"/>
    <w:rsid w:val="0042544B"/>
    <w:rsid w:val="00447985"/>
    <w:rsid w:val="004A5393"/>
    <w:rsid w:val="004D5B4C"/>
    <w:rsid w:val="005001BF"/>
    <w:rsid w:val="00521494"/>
    <w:rsid w:val="00561D0F"/>
    <w:rsid w:val="005A39D1"/>
    <w:rsid w:val="0061594B"/>
    <w:rsid w:val="00635146"/>
    <w:rsid w:val="00683740"/>
    <w:rsid w:val="006850C2"/>
    <w:rsid w:val="006B1036"/>
    <w:rsid w:val="006C495C"/>
    <w:rsid w:val="006E30C1"/>
    <w:rsid w:val="00700B75"/>
    <w:rsid w:val="0071594C"/>
    <w:rsid w:val="00737643"/>
    <w:rsid w:val="00756042"/>
    <w:rsid w:val="007A5613"/>
    <w:rsid w:val="007A5CB1"/>
    <w:rsid w:val="007B1CAC"/>
    <w:rsid w:val="007D459E"/>
    <w:rsid w:val="008711B7"/>
    <w:rsid w:val="0087133A"/>
    <w:rsid w:val="00881005"/>
    <w:rsid w:val="008851AF"/>
    <w:rsid w:val="008A2C60"/>
    <w:rsid w:val="008F598B"/>
    <w:rsid w:val="00910099"/>
    <w:rsid w:val="009308C7"/>
    <w:rsid w:val="00977727"/>
    <w:rsid w:val="00981FD2"/>
    <w:rsid w:val="009869E2"/>
    <w:rsid w:val="0099574A"/>
    <w:rsid w:val="009A5D48"/>
    <w:rsid w:val="009A6AB6"/>
    <w:rsid w:val="009D3F91"/>
    <w:rsid w:val="009D7319"/>
    <w:rsid w:val="00A0608C"/>
    <w:rsid w:val="00A25EEE"/>
    <w:rsid w:val="00A64EAD"/>
    <w:rsid w:val="00AE6ED5"/>
    <w:rsid w:val="00AE7389"/>
    <w:rsid w:val="00AF2C2F"/>
    <w:rsid w:val="00B07937"/>
    <w:rsid w:val="00B11B74"/>
    <w:rsid w:val="00B27311"/>
    <w:rsid w:val="00B77B09"/>
    <w:rsid w:val="00B81D4B"/>
    <w:rsid w:val="00B82E7B"/>
    <w:rsid w:val="00BA1BCE"/>
    <w:rsid w:val="00BD3E55"/>
    <w:rsid w:val="00BF273D"/>
    <w:rsid w:val="00C02EFD"/>
    <w:rsid w:val="00C279F5"/>
    <w:rsid w:val="00C3320C"/>
    <w:rsid w:val="00C45604"/>
    <w:rsid w:val="00C631F9"/>
    <w:rsid w:val="00C82DD8"/>
    <w:rsid w:val="00CB05DD"/>
    <w:rsid w:val="00CE7C44"/>
    <w:rsid w:val="00D22A4C"/>
    <w:rsid w:val="00D25ACD"/>
    <w:rsid w:val="00D322E8"/>
    <w:rsid w:val="00D9157F"/>
    <w:rsid w:val="00DA30AE"/>
    <w:rsid w:val="00DE1394"/>
    <w:rsid w:val="00E03EEF"/>
    <w:rsid w:val="00E05FA2"/>
    <w:rsid w:val="00E51A2F"/>
    <w:rsid w:val="00E94129"/>
    <w:rsid w:val="00EE1A18"/>
    <w:rsid w:val="00F31CE0"/>
    <w:rsid w:val="00F5499A"/>
    <w:rsid w:val="00F54D29"/>
    <w:rsid w:val="00F57827"/>
    <w:rsid w:val="00F70660"/>
    <w:rsid w:val="00F76337"/>
    <w:rsid w:val="00FB3A8F"/>
    <w:rsid w:val="00FB70D8"/>
    <w:rsid w:val="00FD6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891BD"/>
  <w15:chartTrackingRefBased/>
  <w15:docId w15:val="{51A982B6-7882-4DD2-B82C-B364BDAD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33A"/>
    <w:pPr>
      <w:ind w:left="720"/>
      <w:contextualSpacing/>
    </w:pPr>
  </w:style>
  <w:style w:type="paragraph" w:styleId="BalloonText">
    <w:name w:val="Balloon Text"/>
    <w:basedOn w:val="Normal"/>
    <w:link w:val="BalloonTextChar"/>
    <w:uiPriority w:val="99"/>
    <w:semiHidden/>
    <w:unhideWhenUsed/>
    <w:rsid w:val="009308C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308C7"/>
    <w:rPr>
      <w:rFonts w:ascii="Times New Roman" w:hAnsi="Times New Roman" w:cs="Times New Roman"/>
      <w:sz w:val="18"/>
      <w:szCs w:val="18"/>
    </w:rPr>
  </w:style>
  <w:style w:type="paragraph" w:customStyle="1" w:styleId="Body">
    <w:name w:val="Body"/>
    <w:basedOn w:val="Normal"/>
    <w:link w:val="BodyChar"/>
    <w:rsid w:val="00C82DD8"/>
    <w:pPr>
      <w:spacing w:before="240" w:after="0" w:line="240" w:lineRule="auto"/>
      <w:jc w:val="both"/>
    </w:pPr>
    <w:rPr>
      <w:rFonts w:ascii="Arial" w:eastAsia="Times New Roman" w:hAnsi="Arial" w:cs="Times New Roman"/>
      <w:color w:val="000000"/>
      <w:sz w:val="20"/>
      <w:szCs w:val="20"/>
    </w:rPr>
  </w:style>
  <w:style w:type="character" w:styleId="Strong">
    <w:name w:val="Strong"/>
    <w:uiPriority w:val="22"/>
    <w:qFormat/>
    <w:rsid w:val="00C82DD8"/>
    <w:rPr>
      <w:b/>
      <w:bCs/>
    </w:rPr>
  </w:style>
  <w:style w:type="character" w:customStyle="1" w:styleId="BodyChar">
    <w:name w:val="Body Char"/>
    <w:basedOn w:val="DefaultParagraphFont"/>
    <w:link w:val="Body"/>
    <w:rsid w:val="00C82DD8"/>
    <w:rPr>
      <w:rFonts w:ascii="Arial" w:eastAsia="Times New Roman" w:hAnsi="Arial" w:cs="Times New Roman"/>
      <w:color w:val="000000"/>
      <w:sz w:val="20"/>
      <w:szCs w:val="20"/>
    </w:rPr>
  </w:style>
  <w:style w:type="character" w:styleId="Hyperlink">
    <w:name w:val="Hyperlink"/>
    <w:basedOn w:val="DefaultParagraphFont"/>
    <w:uiPriority w:val="99"/>
    <w:unhideWhenUsed/>
    <w:rsid w:val="00981FD2"/>
    <w:rPr>
      <w:color w:val="0563C1" w:themeColor="hyperlink"/>
      <w:u w:val="single"/>
    </w:rPr>
  </w:style>
  <w:style w:type="character" w:styleId="Mention">
    <w:name w:val="Mention"/>
    <w:basedOn w:val="DefaultParagraphFont"/>
    <w:uiPriority w:val="99"/>
    <w:semiHidden/>
    <w:unhideWhenUsed/>
    <w:rsid w:val="00981FD2"/>
    <w:rPr>
      <w:color w:val="2B579A"/>
      <w:shd w:val="clear" w:color="auto" w:fill="E6E6E6"/>
    </w:rPr>
  </w:style>
  <w:style w:type="paragraph" w:styleId="Caption">
    <w:name w:val="caption"/>
    <w:basedOn w:val="Normal"/>
    <w:next w:val="Normal"/>
    <w:uiPriority w:val="35"/>
    <w:unhideWhenUsed/>
    <w:qFormat/>
    <w:rsid w:val="0052149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19642">
      <w:bodyDiv w:val="1"/>
      <w:marLeft w:val="0"/>
      <w:marRight w:val="0"/>
      <w:marTop w:val="0"/>
      <w:marBottom w:val="0"/>
      <w:divBdr>
        <w:top w:val="none" w:sz="0" w:space="0" w:color="auto"/>
        <w:left w:val="none" w:sz="0" w:space="0" w:color="auto"/>
        <w:bottom w:val="none" w:sz="0" w:space="0" w:color="auto"/>
        <w:right w:val="none" w:sz="0" w:space="0" w:color="auto"/>
      </w:divBdr>
    </w:div>
    <w:div w:id="560290177">
      <w:bodyDiv w:val="1"/>
      <w:marLeft w:val="0"/>
      <w:marRight w:val="0"/>
      <w:marTop w:val="0"/>
      <w:marBottom w:val="0"/>
      <w:divBdr>
        <w:top w:val="none" w:sz="0" w:space="0" w:color="auto"/>
        <w:left w:val="none" w:sz="0" w:space="0" w:color="auto"/>
        <w:bottom w:val="none" w:sz="0" w:space="0" w:color="auto"/>
        <w:right w:val="none" w:sz="0" w:space="0" w:color="auto"/>
      </w:divBdr>
      <w:divsChild>
        <w:div w:id="107612676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drive/u/1/folders/0B4_ZRQzLAsLNeXRYcjRKa2FwUjg" TargetMode="External"/><Relationship Id="rId5" Type="http://schemas.openxmlformats.org/officeDocument/2006/relationships/hyperlink" Target="https://drive.google.com/drive/u/1/folders/0B4_ZRQzLAsLNRmowNWV5bDdGZT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884</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Bellino</dc:creator>
  <cp:keywords/>
  <dc:description/>
  <cp:lastModifiedBy>George Bellino</cp:lastModifiedBy>
  <cp:revision>6</cp:revision>
  <dcterms:created xsi:type="dcterms:W3CDTF">2017-07-02T23:00:00Z</dcterms:created>
  <dcterms:modified xsi:type="dcterms:W3CDTF">2017-07-03T18:46:00Z</dcterms:modified>
</cp:coreProperties>
</file>